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spacing w:lineRule="auto" w:line="240" w:before="240" w:after="200"/>
        <w:jc w:val="center"/>
        <w:rPr>
          <w:b/>
          <w:b/>
          <w:bCs/>
        </w:rPr>
      </w:pPr>
      <w:r>
        <w:rPr>
          <w:rFonts w:eastAsia="Times New Roman" w:cs="Times New Roman" w:ascii="Times New Roman" w:hAnsi="Times New Roman"/>
          <w:b/>
          <w:bCs/>
          <w:sz w:val="28"/>
          <w:szCs w:val="28"/>
        </w:rPr>
        <w:t xml:space="preserve">Plan zarządzania danymi </w:t>
      </w:r>
      <w:r>
        <w:rPr>
          <w:rFonts w:eastAsia="Times New Roman" w:cs="Times New Roman" w:ascii="Times New Roman" w:hAnsi="Times New Roman"/>
          <w:b/>
          <w:bCs/>
          <w:sz w:val="28"/>
          <w:szCs w:val="28"/>
        </w:rPr>
        <w:t>dla humanistów</w:t>
      </w:r>
    </w:p>
    <w:p>
      <w:pPr>
        <w:pStyle w:val="LOnormal"/>
        <w:spacing w:lineRule="auto" w:line="240" w:before="240" w:after="20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Table1"/>
        <w:tblW w:w="9359" w:type="dxa"/>
        <w:jc w:val="left"/>
        <w:tblInd w:w="0" w:type="dxa"/>
        <w:tblCellMar>
          <w:top w:w="0" w:type="dxa"/>
          <w:left w:w="108" w:type="dxa"/>
          <w:bottom w:w="0" w:type="dxa"/>
          <w:right w:w="108" w:type="dxa"/>
        </w:tblCellMar>
        <w:tblLook w:val="0600"/>
      </w:tblPr>
      <w:tblGrid>
        <w:gridCol w:w="776"/>
        <w:gridCol w:w="8582"/>
      </w:tblGrid>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1.</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Opis danych oraz pozyskiwanie lub ponowne wykorzystanie dostępnych danych</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1.1.</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Sposób pozyskiwania i opracowywania nowych danych i/lub ponownego wykorzystania dostępnych danych</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Dane pozyskane zostaną na drodze kwerendy w bibliotekach i archiwach na Tajwanie, w tym m.in. </w:t>
            </w:r>
            <w:r>
              <w:rPr>
                <w:rFonts w:eastAsia="Times New Roman" w:cs="Times New Roman" w:ascii="Times New Roman" w:hAnsi="Times New Roman"/>
                <w:color w:val="222222"/>
                <w:sz w:val="24"/>
                <w:szCs w:val="24"/>
                <w:highlight w:val="white"/>
              </w:rPr>
              <w:t xml:space="preserve">Taiwan Music Institute, New Taipei City Hakka Museum oraz Kaohsiung Hakka Cultural Museum. Zakładane jest również stworzenie zbioru fotografii przedstawiających muzyków grających utwory Hakka oraz instrumentów muzycznych wykorzystywanych w trakcie występów. Poza tym dane zebrane zostaną także na drodze wywiadów, które spisane zostaną w dokumencie tekstowym. </w:t>
            </w:r>
            <w:r>
              <w:rPr>
                <w:rFonts w:eastAsia="Times New Roman" w:cs="Times New Roman" w:ascii="Times New Roman" w:hAnsi="Times New Roman"/>
                <w:sz w:val="24"/>
                <w:szCs w:val="24"/>
              </w:rPr>
              <w:t xml:space="preserve">Wszystkie dane zgromadzi i opracuje osoba realizująca projekt. </w:t>
            </w:r>
          </w:p>
          <w:p>
            <w:pPr>
              <w:pStyle w:val="LOnormal"/>
              <w:widowControl w:val="false"/>
              <w:spacing w:lineRule="auto" w:line="24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Pozyskiwane lub opracowywane dane (np. rodzaj, format, ilość)</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both"/>
              <w:rPr/>
            </w:pPr>
            <w:r>
              <w:rPr>
                <w:rFonts w:eastAsia="Times New Roman" w:cs="Times New Roman" w:ascii="Times New Roman" w:hAnsi="Times New Roman"/>
                <w:sz w:val="24"/>
                <w:szCs w:val="24"/>
              </w:rPr>
              <w:t>Zebrane w toku badania nowe dane, takie jak wypowiedzi muzykologów lub muzyków Hakka zapisane zostaną w formie dokumentu tekstowego za pomocą narzędzi i aplikacji biurowych (np. Microsoft Office). Podobnie, przechowywane w formie elektronicznej będą również zdjęcia, które zapisane zostaną w formacie jpg. Opisane powyżej dane należeć będą do osoby realizującej działanie naukowe. Poza tym projekt przewiduje także pozyskanie źródeł, takich jak monografie, artykuły czy inna dokumentacja przedstawiona na papierze. Ich wykorzystanie wiązać się będzie z odpowiednim opisem bibliograficznym. Liczba wszystkich danych pozyskanych na drodze badania jest jeszcze nieznana.</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Dokumentacja i jakość danych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2.1.</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Metadane i dokumenty (np. metodologia lub pozyskiwanie danych oraz sposób porządkowania danych) towarzyszące danym</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Zebrane w toku badania wywiady oraz fotografie podlegać będą uporządkowaniu na dysku komputera osobistego kierownika projektu. Załączony do nich zostanie opis, zawierający informacje na temat autora, daty i miejsca ich pozyskania oraz przedstawionego tematu. Wywiady zostaną uporządkowane w formie zestawienia według nazwisk. Metadane techniczne fotografii będą zapisane w pliku jpg. </w:t>
            </w:r>
          </w:p>
          <w:p>
            <w:pPr>
              <w:pStyle w:val="LOnormal"/>
              <w:widowControl w:val="false"/>
              <w:spacing w:lineRule="auto" w:line="240"/>
              <w:jc w:val="both"/>
              <w:rPr/>
            </w:pPr>
            <w:r>
              <w:rPr>
                <w:rFonts w:eastAsia="Times New Roman" w:cs="Times New Roman" w:ascii="Times New Roman" w:hAnsi="Times New Roman"/>
                <w:sz w:val="24"/>
                <w:szCs w:val="24"/>
              </w:rPr>
              <w:t xml:space="preserve">Chińskie publikacje pozyskane na drodze kwerendy spisane zostaną w oddzielnym dokumencie tekstowym w języku polskim i/lub angielskim. Opis bibliograficzny będzie zgodny ze standardem polskim PN (polskie normy) i zostanie udokumentowany w spisie o układzie alfabetycznym.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2.2.</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Stosowane środki kontroli jakości danych</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both"/>
              <w:rPr/>
            </w:pPr>
            <w:r>
              <w:rPr>
                <w:rFonts w:eastAsia="Times New Roman" w:cs="Times New Roman" w:ascii="Times New Roman" w:hAnsi="Times New Roman"/>
                <w:sz w:val="24"/>
                <w:szCs w:val="24"/>
              </w:rPr>
              <w:t>Zebrane w formie dokumentu tekstowego wywiady podlegać będą sprawdzeniu przez osobę realizującą działanie naukowe. Po ich spisaniu zostaną także zweryfikowane i zaakceptowane przez rozmówcę. Wywiady oraz zdjęcia zostaną opublikowane, jeśli cel działania naukowego zostanie osiągnięty, a także pozytywnie oceniony przez specjalistów z dziedziny sinologii i/lub powiązanych dyscyplin. Wówczas podlegać będą recenzji zgodnie z procedurami naukowego publikowania.</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3.</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Przechowywanie i tworzenie kopii zapasowych podczas badań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3.1.</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Przechowywanie i tworzenie kopii zapasowych danych i metadanych podczas badań</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both"/>
              <w:rPr/>
            </w:pPr>
            <w:r>
              <w:rPr>
                <w:rFonts w:eastAsia="Times New Roman" w:cs="Times New Roman" w:ascii="Times New Roman" w:hAnsi="Times New Roman"/>
                <w:sz w:val="24"/>
                <w:szCs w:val="24"/>
              </w:rPr>
              <w:t xml:space="preserve">Wywiady i zdjęcia przechowywane będą w formie elektronicznej na komputerze osobistym (1 kopia) oraz na  urządzeniu do magazynowania pamięci masowej (USB, 2 kopia). Kopia zapasowa danych przechowywana będzie w oddzielnym miejscu (w chmurze) i uaktualniana raz w miesiącu.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3.2.</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Sposób zapewnienia bezpieczeństwa danych oraz ochrony danych wrażliwych podczas badań</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both"/>
              <w:rPr/>
            </w:pPr>
            <w:r>
              <w:rPr>
                <w:rFonts w:eastAsia="Times New Roman" w:cs="Times New Roman" w:ascii="Times New Roman" w:hAnsi="Times New Roman"/>
                <w:sz w:val="24"/>
                <w:szCs w:val="24"/>
              </w:rPr>
              <w:t>W badaniu nie przewiduje się konieczności tworzenia oraz przechowywania wrażliwych danych. Wywiady będą podlegały autoryzacji i akceptacji właściwej wersji przez osobą udzielającą wywiadu. Jeśli jakaś osoba zażyczy sobie anonimizacji, zostanie ona dokonana.</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4. </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Wymogi prawne, kodeks postępowania</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4.1. </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Sposób zapewnienia zgodności z przepisami dotyczącymi danych osobowych i bezpieczeństwa danych w przypadku przetwarzania danych osobowych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both"/>
              <w:rPr/>
            </w:pPr>
            <w:r>
              <w:rPr>
                <w:rFonts w:eastAsia="Times New Roman" w:cs="Times New Roman" w:ascii="Times New Roman" w:hAnsi="Times New Roman"/>
                <w:sz w:val="24"/>
                <w:szCs w:val="24"/>
              </w:rPr>
              <w:t>Na Uniwersytecie Mikołaja Kopernika w Toruniu działa Inspektor ds. Ochrony Danych (https://www.umk.pl/uczelnia/administracja/?name=Samodzielne-Stanowisko-Pracy---Inspektor-Ochrony-Danych). Jeśli kierownik projektu będzie miał wątpliwości, to zwróci się do niego z prośbą o wskazanie właściwego i zgodnego z prawem postępowania z danymi.</w:t>
            </w:r>
          </w:p>
        </w:tc>
      </w:tr>
      <w:tr>
        <w:trPr>
          <w:trHeight w:val="603" w:hRule="atLeast"/>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4.2.</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Sposób zarządzania innymi kwestiami prawnymi, np. prawami własności intelektualnej lub własnością. Obowiązujące przepisy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both"/>
              <w:rPr/>
            </w:pPr>
            <w:r>
              <w:rPr>
                <w:rFonts w:eastAsia="Times New Roman" w:cs="Times New Roman" w:ascii="Times New Roman" w:hAnsi="Times New Roman"/>
                <w:sz w:val="24"/>
                <w:szCs w:val="24"/>
              </w:rPr>
              <w:t>Prawa autorskie do pozyskanych danych (m.in. notatnika badacza, fotografii, spisów bibliograficznych) będą własnością kierownika projektu. Wszystkie osoby, które udzielą wywiadów w ramach badania oraz które zostaną sfotografowane będą zobligowane do podpisania umowy wyłącznej o przekazaniu praw autorskich na rzecz osoby realizującej działanie naukowe. Ich dane będą przechowywane zgodnie z zaleceniami Inspektora ds. Ochrony Danych UMK.</w:t>
            </w:r>
            <w:r>
              <w:rPr/>
              <w:t xml:space="preserve"> </w:t>
            </w:r>
            <w:r>
              <w:rPr>
                <w:rFonts w:eastAsia="Times New Roman" w:cs="Times New Roman" w:ascii="Times New Roman" w:hAnsi="Times New Roman"/>
                <w:sz w:val="24"/>
                <w:szCs w:val="24"/>
              </w:rPr>
              <w:t xml:space="preserve">Dane upowszechniane w Internecie zgodnie z wymogami grantu upowszechni się na wolnych licencjach Creative Commons.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5.</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Udostępnianie i długotrwałe przechowywanie danych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5.1.</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Sposób i termin udostępnienia danych. Ewentualne ograniczenia w udostępnianiu danych lub przyczyny embarga</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both"/>
              <w:rPr/>
            </w:pPr>
            <w:r>
              <w:rPr>
                <w:rFonts w:eastAsia="Times New Roman" w:cs="Times New Roman" w:ascii="Times New Roman" w:hAnsi="Times New Roman"/>
                <w:sz w:val="24"/>
                <w:szCs w:val="24"/>
              </w:rPr>
              <w:t xml:space="preserve">Wybrane dane badawcze, w tym spisy bibliograficzne oraz fotografie zostaną upowszechnione po zakończeniu badań. Wywiady z muzykologami i muzykami oraz wykonane w trakcie badania zdjęcia, jeśli zostanie to uznane za konieczne i przydatne, dostępne będą około rok po opublikowaniu oficjalnej publikacji z wynikami badania, na osobistą prośbę skierowaną do osoby realizującej działanie naukowe.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5.2.</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Sposób wyboru danych przeznaczonych do przechowania oraz miejsce długotrwałego przechowywania danych (np. repozytorium lub archiwum danych)</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both"/>
              <w:rPr/>
            </w:pPr>
            <w:r>
              <w:rPr>
                <w:rFonts w:eastAsia="Times New Roman" w:cs="Times New Roman" w:ascii="Times New Roman" w:hAnsi="Times New Roman"/>
                <w:sz w:val="24"/>
                <w:szCs w:val="24"/>
              </w:rPr>
              <w:t xml:space="preserve">Wyboru danych dokona się na podstawie ich wartości badawczej. Te które mogą być przydatne innym badaczom zostaną upowszechnione. W perspektywie długoterminowej zdjęcia i wywiady przechowywane będą na twardym dysku osobistego komputera osoby realizującej działanie naukowe oraz w repozytorium danych badawczych UMK: </w:t>
            </w:r>
            <w:hyperlink r:id="rId2">
              <w:r>
                <w:rPr>
                  <w:rStyle w:val="ListLabel1"/>
                  <w:rFonts w:eastAsia="Times New Roman" w:cs="Times New Roman" w:ascii="Times New Roman" w:hAnsi="Times New Roman"/>
                  <w:color w:val="0000FF"/>
                  <w:sz w:val="24"/>
                  <w:szCs w:val="24"/>
                  <w:u w:val="single"/>
                </w:rPr>
                <w:t>https://rd.umk.pl/</w:t>
              </w:r>
            </w:hyperlink>
            <w:r>
              <w:rPr>
                <w:rFonts w:eastAsia="Times New Roman" w:cs="Times New Roman" w:ascii="Times New Roman" w:hAnsi="Times New Roman"/>
                <w:sz w:val="24"/>
                <w:szCs w:val="24"/>
              </w:rPr>
              <w:t>. Dane udostępnione w repozytorium UMK będą dostępne tak długo, jak będzie ono funkcjonowało. Zgodnie z zaleceniami NCN przewiduje się przechowywanie danych przez co najmniej 10 lat.</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5.3.</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Metody lub narzędzia programowe umożliwiające dostęp do danych i korzystanie z danych</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both"/>
              <w:rPr/>
            </w:pPr>
            <w:r>
              <w:rPr>
                <w:rFonts w:eastAsia="Times New Roman" w:cs="Times New Roman" w:ascii="Times New Roman" w:hAnsi="Times New Roman"/>
                <w:sz w:val="24"/>
                <w:szCs w:val="24"/>
              </w:rPr>
              <w:t>Jeśli tylko będzie to możliwe, dane zostaną wyeksportowane do formatów, których otwarcie możliwe będzie przy użyciu standardowych narzędzi i aplikacji biurowych (PDF, jpg). Otwarte repozytorium danych UMK może przechować i upowszechnić każdy format. Dostęp do repozytorium ma każdy zainteresowany bez logowania i innych ograniczeń.</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5.4.</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Sposób zapewniający stosowanie unikalnego i trwałego identyfikatora (np. cyfrowego identyfikatora obiektu (DOI)) dla każdego zestawu danych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Repozytorium UMK, w którym zdeponowane zostaną dane surowe i przetworzone dostarcza unikalnej i niezmiennej identyfikacji Digital Object Identifier (DOI).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6. </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b/>
                <w:sz w:val="28"/>
                <w:szCs w:val="28"/>
              </w:rPr>
              <w:t>Zadania związane z zarządzaniem danymi oraz zasoby</w:t>
            </w:r>
            <w:r>
              <w:rPr>
                <w:rFonts w:eastAsia="Times New Roman" w:cs="Times New Roman" w:ascii="Times New Roman" w:hAnsi="Times New Roman"/>
                <w:sz w:val="28"/>
                <w:szCs w:val="28"/>
              </w:rPr>
              <w:t xml:space="preserve">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6.1.</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Osoba (np. funkcja, stanowisko i instytucja) odpowiedzialna za zarządzanie danymi (np. data steward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Osobą odpowiedzialną za zarządzanie danymi będzie osoba realizująca działanie naukowe. </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6.2.</w:t>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Środki (np. finansowe i czasowe) przeznaczone do zarządzania danymi i zapewnienia możliwości odnalezienia, dostępu, interoperacyjności i ponownego wykorzystania danych</w:t>
            </w:r>
          </w:p>
        </w:tc>
      </w:tr>
      <w:tr>
        <w:trPr/>
        <w:tc>
          <w:tcPr>
            <w:tcW w:w="77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858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jc w:val="both"/>
              <w:rPr>
                <w:rFonts w:ascii="Times New Roman" w:hAnsi="Times New Roman" w:eastAsia="Times New Roman" w:cs="Times New Roman"/>
                <w:sz w:val="24"/>
                <w:szCs w:val="24"/>
                <w:highlight w:val="yellow"/>
              </w:rPr>
            </w:pPr>
            <w:r>
              <w:rPr>
                <w:rFonts w:eastAsia="Times New Roman" w:cs="Times New Roman" w:ascii="Times New Roman" w:hAnsi="Times New Roman"/>
                <w:sz w:val="24"/>
                <w:szCs w:val="24"/>
              </w:rPr>
              <w:t xml:space="preserve">W projekcie nie przewidziano odrębnych środków finansowych do zarządzania danymi i zapewnienia możliwości odnalezienia, dostępu, interoperacyjności i ponownego wykorzystania danych. </w:t>
            </w:r>
          </w:p>
        </w:tc>
      </w:tr>
    </w:tbl>
    <w:p>
      <w:pPr>
        <w:pStyle w:val="LOnormal"/>
        <w:rPr/>
      </w:pPr>
      <w:r>
        <w:rPr/>
      </w:r>
    </w:p>
    <w:sectPr>
      <w:type w:val="nextPage"/>
      <w:pgSz w:w="12240" w:h="15840"/>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 w:name="Liberation Sans">
    <w:altName w:val="Arial"/>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n" w:eastAsia="zh-CN" w:bidi="hi-IN"/>
      </w:rPr>
    </w:rPrDefault>
    <w:pPrDefault>
      <w:pPr/>
    </w:pPrDefault>
  </w:docDefaults>
  <w:style w:type="paragraph" w:styleId="Normal">
    <w:name w:val="Normal"/>
    <w:qFormat/>
    <w:pPr>
      <w:widowControl/>
      <w:bidi w:val="0"/>
      <w:spacing w:lineRule="auto" w:line="276"/>
      <w:jc w:val="left"/>
    </w:pPr>
    <w:rPr>
      <w:rFonts w:ascii="Arial" w:hAnsi="Arial" w:eastAsia="Arial" w:cs="Arial"/>
      <w:color w:val="auto"/>
      <w:kern w:val="0"/>
      <w:sz w:val="22"/>
      <w:szCs w:val="22"/>
      <w:lang w:val="en" w:eastAsia="zh-CN" w:bidi="hi-IN"/>
    </w:rPr>
  </w:style>
  <w:style w:type="paragraph" w:styleId="Nagwek1">
    <w:name w:val="Heading 1"/>
    <w:next w:val="LOnormal"/>
    <w:qFormat/>
    <w:pPr>
      <w:keepNext w:val="true"/>
      <w:keepLines/>
      <w:widowControl/>
      <w:bidi w:val="0"/>
      <w:spacing w:lineRule="auto" w:line="240" w:before="400" w:after="120"/>
      <w:jc w:val="left"/>
    </w:pPr>
    <w:rPr>
      <w:rFonts w:ascii="Arial" w:hAnsi="Arial" w:eastAsia="Arial" w:cs="Arial"/>
      <w:color w:val="auto"/>
      <w:kern w:val="0"/>
      <w:sz w:val="40"/>
      <w:szCs w:val="40"/>
      <w:lang w:val="en" w:eastAsia="zh-CN" w:bidi="hi-IN"/>
    </w:rPr>
  </w:style>
  <w:style w:type="paragraph" w:styleId="Nagwek2">
    <w:name w:val="Heading 2"/>
    <w:next w:val="LOnormal"/>
    <w:qFormat/>
    <w:pPr>
      <w:keepNext w:val="true"/>
      <w:keepLines/>
      <w:widowControl/>
      <w:bidi w:val="0"/>
      <w:spacing w:lineRule="auto" w:line="240" w:before="360" w:after="120"/>
      <w:jc w:val="left"/>
    </w:pPr>
    <w:rPr>
      <w:rFonts w:ascii="Arial" w:hAnsi="Arial" w:eastAsia="Arial" w:cs="Arial"/>
      <w:b w:val="false"/>
      <w:color w:val="auto"/>
      <w:kern w:val="0"/>
      <w:sz w:val="32"/>
      <w:szCs w:val="32"/>
      <w:lang w:val="en" w:eastAsia="zh-CN" w:bidi="hi-IN"/>
    </w:rPr>
  </w:style>
  <w:style w:type="paragraph" w:styleId="Nagwek3">
    <w:name w:val="Heading 3"/>
    <w:next w:val="LOnormal"/>
    <w:qFormat/>
    <w:pPr>
      <w:keepNext w:val="true"/>
      <w:keepLines/>
      <w:widowControl/>
      <w:bidi w:val="0"/>
      <w:spacing w:lineRule="auto" w:line="240" w:before="320" w:after="80"/>
      <w:jc w:val="left"/>
    </w:pPr>
    <w:rPr>
      <w:rFonts w:ascii="Arial" w:hAnsi="Arial" w:eastAsia="Arial" w:cs="Arial"/>
      <w:b w:val="false"/>
      <w:color w:val="434343"/>
      <w:kern w:val="0"/>
      <w:sz w:val="28"/>
      <w:szCs w:val="28"/>
      <w:lang w:val="en" w:eastAsia="zh-CN" w:bidi="hi-IN"/>
    </w:rPr>
  </w:style>
  <w:style w:type="paragraph" w:styleId="Nagwek4">
    <w:name w:val="Heading 4"/>
    <w:next w:val="LOnormal"/>
    <w:qFormat/>
    <w:pPr>
      <w:keepNext w:val="true"/>
      <w:keepLines/>
      <w:widowControl/>
      <w:bidi w:val="0"/>
      <w:spacing w:lineRule="auto" w:line="240" w:before="280" w:after="80"/>
      <w:jc w:val="left"/>
    </w:pPr>
    <w:rPr>
      <w:rFonts w:ascii="Arial" w:hAnsi="Arial" w:eastAsia="Arial" w:cs="Arial"/>
      <w:color w:val="666666"/>
      <w:kern w:val="0"/>
      <w:sz w:val="24"/>
      <w:szCs w:val="24"/>
      <w:lang w:val="en" w:eastAsia="zh-CN" w:bidi="hi-IN"/>
    </w:rPr>
  </w:style>
  <w:style w:type="paragraph" w:styleId="Nagwek5">
    <w:name w:val="Heading 5"/>
    <w:next w:val="LOnormal"/>
    <w:qFormat/>
    <w:pPr>
      <w:keepNext w:val="true"/>
      <w:keepLines/>
      <w:widowControl/>
      <w:bidi w:val="0"/>
      <w:spacing w:lineRule="auto" w:line="240" w:before="240" w:after="80"/>
      <w:jc w:val="left"/>
    </w:pPr>
    <w:rPr>
      <w:rFonts w:ascii="Arial" w:hAnsi="Arial" w:eastAsia="Arial" w:cs="Arial"/>
      <w:color w:val="666666"/>
      <w:kern w:val="0"/>
      <w:sz w:val="22"/>
      <w:szCs w:val="22"/>
      <w:lang w:val="en" w:eastAsia="zh-CN" w:bidi="hi-IN"/>
    </w:rPr>
  </w:style>
  <w:style w:type="paragraph" w:styleId="Nagwek6">
    <w:name w:val="Heading 6"/>
    <w:next w:val="LOnormal"/>
    <w:qFormat/>
    <w:pPr>
      <w:keepNext w:val="true"/>
      <w:keepLines/>
      <w:widowControl/>
      <w:bidi w:val="0"/>
      <w:spacing w:lineRule="auto" w:line="240" w:before="240" w:after="80"/>
      <w:jc w:val="left"/>
    </w:pPr>
    <w:rPr>
      <w:rFonts w:ascii="Arial" w:hAnsi="Arial" w:eastAsia="Arial" w:cs="Arial"/>
      <w:i/>
      <w:color w:val="666666"/>
      <w:kern w:val="0"/>
      <w:sz w:val="22"/>
      <w:szCs w:val="22"/>
      <w:lang w:val="en" w:eastAsia="zh-CN" w:bidi="hi-IN"/>
    </w:rPr>
  </w:style>
  <w:style w:type="character" w:styleId="Czeinternetowe">
    <w:name w:val="Łącze internetowe"/>
    <w:rPr>
      <w:color w:val="000080"/>
      <w:u w:val="single"/>
      <w:lang w:val="zxx" w:eastAsia="zxx" w:bidi="zxx"/>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Onormal" w:default="1">
    <w:name w:val="LO-normal"/>
    <w:qFormat/>
    <w:pPr>
      <w:widowControl/>
      <w:bidi w:val="0"/>
      <w:spacing w:lineRule="auto" w:line="276"/>
      <w:jc w:val="left"/>
    </w:pPr>
    <w:rPr>
      <w:rFonts w:ascii="Arial" w:hAnsi="Arial" w:eastAsia="Arial" w:cs="Arial"/>
      <w:color w:val="auto"/>
      <w:kern w:val="0"/>
      <w:sz w:val="22"/>
      <w:szCs w:val="22"/>
      <w:lang w:val="en" w:eastAsia="zh-CN" w:bidi="hi-IN"/>
    </w:rPr>
  </w:style>
  <w:style w:type="paragraph" w:styleId="Tytu">
    <w:name w:val="Title"/>
    <w:basedOn w:val="LOnormal"/>
    <w:next w:val="LOnormal"/>
    <w:qFormat/>
    <w:pPr>
      <w:keepNext w:val="true"/>
      <w:keepLines/>
      <w:spacing w:lineRule="auto" w:line="240" w:before="0" w:after="60"/>
    </w:pPr>
    <w:rPr>
      <w:sz w:val="52"/>
      <w:szCs w:val="52"/>
    </w:rPr>
  </w:style>
  <w:style w:type="paragraph" w:styleId="Podtytu">
    <w:name w:val="Subtitle"/>
    <w:basedOn w:val="LOnormal"/>
    <w:next w:val="LOnormal"/>
    <w:qFormat/>
    <w:pPr>
      <w:keepNext w:val="true"/>
      <w:keepLines/>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d.umk.pl/"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LibreOffice/6.3.2.2$Windows_x86 LibreOffice_project/98b30e735bda24bc04ab42594c85f7fd8be07b9c</Application>
  <Pages>3</Pages>
  <Words>926</Words>
  <Characters>6364</Characters>
  <CharactersWithSpaces>7255</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pl-PL</dc:language>
  <cp:lastModifiedBy/>
  <dcterms:modified xsi:type="dcterms:W3CDTF">2020-09-15T11:57:01Z</dcterms:modified>
  <cp:revision>3</cp:revision>
  <dc:subject/>
  <dc:title/>
</cp:coreProperties>
</file>